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A1A" w:rsidRDefault="00773A1A" w:rsidP="000B6087">
      <w:pPr>
        <w:spacing w:line="480" w:lineRule="auto"/>
        <w:jc w:val="center"/>
      </w:pPr>
    </w:p>
    <w:p w:rsidR="00555B72" w:rsidRDefault="00555B72" w:rsidP="000B6087">
      <w:pPr>
        <w:spacing w:line="480" w:lineRule="auto"/>
        <w:jc w:val="center"/>
      </w:pPr>
    </w:p>
    <w:p w:rsidR="00555B72" w:rsidRDefault="00555B72" w:rsidP="000B6087">
      <w:pPr>
        <w:spacing w:line="480" w:lineRule="auto"/>
        <w:jc w:val="center"/>
      </w:pPr>
    </w:p>
    <w:p w:rsidR="00555B72" w:rsidRDefault="00555B72" w:rsidP="000B6087">
      <w:pPr>
        <w:spacing w:line="480" w:lineRule="auto"/>
        <w:jc w:val="center"/>
      </w:pPr>
    </w:p>
    <w:p w:rsidR="00773A1A" w:rsidRDefault="00773A1A" w:rsidP="000B6087">
      <w:pPr>
        <w:spacing w:line="480" w:lineRule="auto"/>
        <w:jc w:val="center"/>
      </w:pPr>
    </w:p>
    <w:p w:rsidR="00773A1A" w:rsidRDefault="00773A1A" w:rsidP="000B6087">
      <w:pPr>
        <w:spacing w:line="480" w:lineRule="auto"/>
        <w:jc w:val="center"/>
      </w:pPr>
    </w:p>
    <w:p w:rsidR="00773A1A" w:rsidRDefault="00773A1A" w:rsidP="000B6087">
      <w:pPr>
        <w:spacing w:line="480" w:lineRule="auto"/>
        <w:jc w:val="center"/>
      </w:pPr>
    </w:p>
    <w:p w:rsidR="00773A1A" w:rsidRDefault="00773A1A" w:rsidP="000B6087">
      <w:pPr>
        <w:spacing w:line="480" w:lineRule="auto"/>
        <w:jc w:val="center"/>
      </w:pPr>
    </w:p>
    <w:p w:rsidR="00773A1A" w:rsidRDefault="00773A1A" w:rsidP="000B6087">
      <w:pPr>
        <w:spacing w:line="480" w:lineRule="auto"/>
        <w:jc w:val="center"/>
      </w:pPr>
      <w:r>
        <w:t>Marginal Analysis.</w:t>
      </w:r>
    </w:p>
    <w:p w:rsidR="00773A1A" w:rsidRDefault="00773A1A" w:rsidP="000B6087">
      <w:pPr>
        <w:spacing w:line="480" w:lineRule="auto"/>
        <w:jc w:val="center"/>
      </w:pPr>
      <w:r>
        <w:t>Name.</w:t>
      </w:r>
    </w:p>
    <w:p w:rsidR="00773A1A" w:rsidRDefault="00773A1A" w:rsidP="000B6087">
      <w:pPr>
        <w:spacing w:line="480" w:lineRule="auto"/>
        <w:jc w:val="center"/>
      </w:pPr>
      <w:r>
        <w:t>Institution.</w:t>
      </w:r>
    </w:p>
    <w:p w:rsidR="00773A1A" w:rsidRDefault="00773A1A" w:rsidP="000B6087">
      <w:pPr>
        <w:spacing w:line="480" w:lineRule="auto"/>
        <w:jc w:val="center"/>
      </w:pPr>
      <w:r>
        <w:t>Date.</w:t>
      </w:r>
    </w:p>
    <w:p w:rsidR="00773A1A" w:rsidRDefault="00773A1A" w:rsidP="000B6087">
      <w:pPr>
        <w:spacing w:line="480" w:lineRule="auto"/>
        <w:jc w:val="center"/>
      </w:pPr>
    </w:p>
    <w:p w:rsidR="00773A1A" w:rsidRDefault="00773A1A" w:rsidP="000B6087">
      <w:pPr>
        <w:spacing w:line="480" w:lineRule="auto"/>
        <w:jc w:val="center"/>
      </w:pPr>
    </w:p>
    <w:p w:rsidR="00773A1A" w:rsidRDefault="00773A1A" w:rsidP="000B6087">
      <w:pPr>
        <w:spacing w:line="480" w:lineRule="auto"/>
        <w:jc w:val="center"/>
      </w:pPr>
    </w:p>
    <w:p w:rsidR="00773A1A" w:rsidRDefault="00773A1A" w:rsidP="000B6087">
      <w:pPr>
        <w:spacing w:line="480" w:lineRule="auto"/>
        <w:jc w:val="center"/>
      </w:pPr>
    </w:p>
    <w:p w:rsidR="00773A1A" w:rsidRDefault="00773A1A" w:rsidP="000B6087">
      <w:pPr>
        <w:spacing w:line="480" w:lineRule="auto"/>
        <w:jc w:val="center"/>
      </w:pPr>
    </w:p>
    <w:p w:rsidR="00773A1A" w:rsidRDefault="00773A1A" w:rsidP="000B6087">
      <w:pPr>
        <w:spacing w:line="480" w:lineRule="auto"/>
        <w:jc w:val="center"/>
      </w:pPr>
    </w:p>
    <w:p w:rsidR="00773A1A" w:rsidRDefault="00773A1A" w:rsidP="000B6087">
      <w:pPr>
        <w:spacing w:line="480" w:lineRule="auto"/>
        <w:jc w:val="center"/>
      </w:pPr>
      <w:r>
        <w:lastRenderedPageBreak/>
        <w:t>Marginal Analysis</w:t>
      </w:r>
    </w:p>
    <w:p w:rsidR="000B6087" w:rsidRDefault="000B6087" w:rsidP="000B6087">
      <w:pPr>
        <w:spacing w:line="480" w:lineRule="auto"/>
        <w:ind w:firstLine="720"/>
      </w:pPr>
      <w:r>
        <w:t>Marginal cost and margin benefit are the measures of how cost and value changes. Marginal benefit represents the measurement of value on the consumer's end while marginal cost represents the measurement of cost on the producer's end. The two concepts are crucial to companies in their processes such as manufacturing, pricing and marketing of different products (Moffatt, 2018). Specifically, the marginal benefit is a small but quantifiable change in favour of the buyer if they purchase an additional product or a service. Due to diminishing marginal utility, the marginal benefit tends to diminish as the buyer uses more and more of the same product. On the other hand, marginal cost is a small but quantifiable change of expenses to the benefit of the producer when they produce an additional unit (Moffatt, 2018). Generally, the marginal cost is realized when a producer has realized economies of scale, which is usually gained through increased level of production.  In this paper, I will provide two scenarios where I had to make economic decisions based on marginal analysis. Second, I will provide and analyze a scenario in which the government failed to make decisions based on marginal analysis.</w:t>
      </w:r>
    </w:p>
    <w:p w:rsidR="000B6087" w:rsidRDefault="000B6087" w:rsidP="000B6087">
      <w:pPr>
        <w:spacing w:line="480" w:lineRule="auto"/>
        <w:ind w:firstLine="720"/>
      </w:pPr>
      <w:r>
        <w:t xml:space="preserve">  In 2016, during the long vacation, I was working with a company which paid its employees $5 for every hour from 12am-2pm and $7.5 every hour from 3pm-7pm. However, being a student and having other activities to accomplish, I calculated value for every hour of work as: working from 6am-8am; the value of time was $1, working from 8am-10am; the value of time was $1.5, working from 10am-11am; the value of time for an hour was $2, working from 11am-12pm; the value of time was $2.5, working from 12pm-1pm; the value of time was 3, working from 1pm-2pm; the value of time was $4, working from 2pm-3pm; the value of time was $4.5, working from 3pm-4pm; the value of time was $6, working from 4pm-5pm, the value of time was $9.5 and finally, working from 5pm-6pm, the value of time was $10. I had to make </w:t>
      </w:r>
      <w:r>
        <w:lastRenderedPageBreak/>
        <w:t>decisions on whether on the hours to trade-off my other activities for work. I decided to work all the hours where the marginal cost exceeded the marginal benefit, which was from 6am-4pm. I decided not to work from 4pm-6pm because the marginal benefit exceeded the marginal cost. In another scenario, I was in an apparel shop to buy a cap which was priced at $50. As I headed out of the shop, I spotted another cap. However, though much appealing, I could not pay another $50 for the cap. The seller decided to reduce the cost to $30 for the additional cap.</w:t>
      </w:r>
    </w:p>
    <w:p w:rsidR="000B6087" w:rsidRDefault="000B6087" w:rsidP="000B6087">
      <w:pPr>
        <w:spacing w:line="480" w:lineRule="auto"/>
        <w:ind w:firstLine="720"/>
      </w:pPr>
      <w:r>
        <w:t xml:space="preserve"> In 2015, the Federal Reserve raised the interest rates a move which aimed at creating more jobs and boosting the economic growth of the nation. In raising the target rates, the cost of all other target rates such as car loans, credit cards, and mortgages automatically escalated. Lending is a crucial pillar of the economy, and a slight change contributes to the value of the dollar, the stock market and the job market (Moffatt, 2018). In this service, the marginal cost exceeded the marginal benefit. When interest rates are high, citizens will not borrow loans, and if they do, they will be coerced to pay higher profits. In my opinion, the Federal Reserve should not have provided the high rate loan since it might lead to a decreased labour market and subsequently resulting in low wages and discrimination. </w:t>
      </w:r>
    </w:p>
    <w:p w:rsidR="000B6087" w:rsidRDefault="000B6087" w:rsidP="000B6087">
      <w:pPr>
        <w:spacing w:line="480" w:lineRule="auto"/>
        <w:ind w:firstLine="720"/>
      </w:pPr>
    </w:p>
    <w:p w:rsidR="000B6087" w:rsidRDefault="000B6087" w:rsidP="000B6087">
      <w:pPr>
        <w:spacing w:line="480" w:lineRule="auto"/>
        <w:ind w:firstLine="720"/>
      </w:pPr>
    </w:p>
    <w:p w:rsidR="00CE0A6C" w:rsidRDefault="00DD5EB5" w:rsidP="000B6087">
      <w:pPr>
        <w:spacing w:line="480" w:lineRule="auto"/>
        <w:ind w:firstLine="720"/>
      </w:pPr>
      <w:r>
        <w:t xml:space="preserve"> </w:t>
      </w:r>
    </w:p>
    <w:p w:rsidR="00773A1A" w:rsidRDefault="00773A1A" w:rsidP="000B6087">
      <w:pPr>
        <w:spacing w:line="480" w:lineRule="auto"/>
      </w:pPr>
    </w:p>
    <w:p w:rsidR="00773A1A" w:rsidRDefault="00773A1A" w:rsidP="000B6087">
      <w:pPr>
        <w:spacing w:line="480" w:lineRule="auto"/>
        <w:jc w:val="center"/>
      </w:pPr>
    </w:p>
    <w:p w:rsidR="00773A1A" w:rsidRDefault="00773A1A" w:rsidP="000B6087">
      <w:pPr>
        <w:spacing w:line="480" w:lineRule="auto"/>
        <w:jc w:val="center"/>
      </w:pPr>
    </w:p>
    <w:p w:rsidR="00DD421D" w:rsidRDefault="00773A1A" w:rsidP="000B6087">
      <w:pPr>
        <w:spacing w:line="480" w:lineRule="auto"/>
        <w:jc w:val="center"/>
      </w:pPr>
      <w:r>
        <w:lastRenderedPageBreak/>
        <w:t>References</w:t>
      </w:r>
    </w:p>
    <w:p w:rsidR="00773A1A" w:rsidRDefault="0023286C" w:rsidP="000B6087">
      <w:pPr>
        <w:pStyle w:val="Bibliography"/>
        <w:spacing w:line="480" w:lineRule="auto"/>
        <w:ind w:left="720" w:hanging="720"/>
        <w:rPr>
          <w:noProof/>
        </w:rPr>
      </w:pPr>
      <w:r>
        <w:fldChar w:fldCharType="begin"/>
      </w:r>
      <w:r w:rsidR="00773A1A">
        <w:instrText xml:space="preserve"> BIBLIOGRAPHY  \l 1033 </w:instrText>
      </w:r>
      <w:r>
        <w:fldChar w:fldCharType="separate"/>
      </w:r>
      <w:r w:rsidR="00773A1A">
        <w:rPr>
          <w:noProof/>
        </w:rPr>
        <w:t xml:space="preserve">Moffatt, M. (2018). Introduction to the Use of Marginal Analysis. </w:t>
      </w:r>
      <w:r w:rsidR="00773A1A">
        <w:rPr>
          <w:i/>
          <w:iCs/>
          <w:noProof/>
        </w:rPr>
        <w:t>ThoughtCo.</w:t>
      </w:r>
      <w:r w:rsidR="00773A1A">
        <w:rPr>
          <w:noProof/>
        </w:rPr>
        <w:t xml:space="preserve"> , 7-10.</w:t>
      </w:r>
    </w:p>
    <w:p w:rsidR="00773A1A" w:rsidRDefault="00773A1A" w:rsidP="000B6087">
      <w:pPr>
        <w:pStyle w:val="Bibliography"/>
        <w:spacing w:line="480" w:lineRule="auto"/>
        <w:ind w:left="720" w:hanging="720"/>
        <w:rPr>
          <w:noProof/>
        </w:rPr>
      </w:pPr>
      <w:r>
        <w:rPr>
          <w:noProof/>
        </w:rPr>
        <w:t xml:space="preserve">Mui, Q. (2015). The Biggest Economic decision of the Year Explained. </w:t>
      </w:r>
      <w:r>
        <w:rPr>
          <w:i/>
          <w:iCs/>
          <w:noProof/>
        </w:rPr>
        <w:t>The Washington Post</w:t>
      </w:r>
      <w:r>
        <w:rPr>
          <w:noProof/>
        </w:rPr>
        <w:t xml:space="preserve"> , 5-6.</w:t>
      </w:r>
    </w:p>
    <w:p w:rsidR="00773A1A" w:rsidRDefault="0023286C" w:rsidP="000B6087">
      <w:pPr>
        <w:spacing w:line="480" w:lineRule="auto"/>
        <w:ind w:left="720" w:hanging="720"/>
      </w:pPr>
      <w:r>
        <w:fldChar w:fldCharType="end"/>
      </w:r>
    </w:p>
    <w:sectPr w:rsidR="00773A1A" w:rsidSect="00773A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5D2" w:rsidRDefault="008825D2" w:rsidP="00773A1A">
      <w:pPr>
        <w:spacing w:after="0" w:line="240" w:lineRule="auto"/>
      </w:pPr>
      <w:r>
        <w:separator/>
      </w:r>
    </w:p>
  </w:endnote>
  <w:endnote w:type="continuationSeparator" w:id="1">
    <w:p w:rsidR="008825D2" w:rsidRDefault="008825D2" w:rsidP="00773A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5D2" w:rsidRDefault="008825D2" w:rsidP="00773A1A">
      <w:pPr>
        <w:spacing w:after="0" w:line="240" w:lineRule="auto"/>
      </w:pPr>
      <w:r>
        <w:separator/>
      </w:r>
    </w:p>
  </w:footnote>
  <w:footnote w:type="continuationSeparator" w:id="1">
    <w:p w:rsidR="008825D2" w:rsidRDefault="008825D2" w:rsidP="00773A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A1A" w:rsidRDefault="00773A1A">
    <w:pPr>
      <w:pStyle w:val="Header"/>
      <w:jc w:val="right"/>
    </w:pPr>
    <w:r>
      <w:t xml:space="preserve">MARGINAL ANALYSIS                                                                                                               </w:t>
    </w:r>
    <w:sdt>
      <w:sdtPr>
        <w:id w:val="111749097"/>
        <w:docPartObj>
          <w:docPartGallery w:val="Page Numbers (Top of Page)"/>
          <w:docPartUnique/>
        </w:docPartObj>
      </w:sdtPr>
      <w:sdtContent>
        <w:fldSimple w:instr=" PAGE   \* MERGEFORMAT ">
          <w:r w:rsidR="000B6087">
            <w:rPr>
              <w:noProof/>
            </w:rPr>
            <w:t>4</w:t>
          </w:r>
        </w:fldSimple>
      </w:sdtContent>
    </w:sdt>
  </w:p>
  <w:p w:rsidR="00773A1A" w:rsidRDefault="00773A1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A1A" w:rsidRDefault="00773A1A">
    <w:pPr>
      <w:pStyle w:val="Header"/>
      <w:jc w:val="right"/>
    </w:pPr>
    <w:r>
      <w:t xml:space="preserve">Running head: MARGINAL ANALYSIS                                                                                       </w:t>
    </w:r>
    <w:sdt>
      <w:sdtPr>
        <w:id w:val="111748969"/>
        <w:docPartObj>
          <w:docPartGallery w:val="Page Numbers (Top of Page)"/>
          <w:docPartUnique/>
        </w:docPartObj>
      </w:sdtPr>
      <w:sdtContent>
        <w:fldSimple w:instr=" PAGE   \* MERGEFORMAT ">
          <w:r w:rsidR="000B6087">
            <w:rPr>
              <w:noProof/>
            </w:rPr>
            <w:t>1</w:t>
          </w:r>
        </w:fldSimple>
      </w:sdtContent>
    </w:sdt>
  </w:p>
  <w:p w:rsidR="00773A1A" w:rsidRDefault="00773A1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05190"/>
    <w:rsid w:val="000A7E60"/>
    <w:rsid w:val="000B6087"/>
    <w:rsid w:val="001622AC"/>
    <w:rsid w:val="0023286C"/>
    <w:rsid w:val="0030180E"/>
    <w:rsid w:val="003978D9"/>
    <w:rsid w:val="00555B72"/>
    <w:rsid w:val="00565204"/>
    <w:rsid w:val="00705190"/>
    <w:rsid w:val="0075694F"/>
    <w:rsid w:val="00773A1A"/>
    <w:rsid w:val="008825D2"/>
    <w:rsid w:val="00B239E3"/>
    <w:rsid w:val="00BB208D"/>
    <w:rsid w:val="00BC416F"/>
    <w:rsid w:val="00C71466"/>
    <w:rsid w:val="00CD3AFA"/>
    <w:rsid w:val="00CE0A6C"/>
    <w:rsid w:val="00D12180"/>
    <w:rsid w:val="00DD421D"/>
    <w:rsid w:val="00DD5E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A1A"/>
  </w:style>
  <w:style w:type="paragraph" w:styleId="Footer">
    <w:name w:val="footer"/>
    <w:basedOn w:val="Normal"/>
    <w:link w:val="FooterChar"/>
    <w:uiPriority w:val="99"/>
    <w:semiHidden/>
    <w:unhideWhenUsed/>
    <w:rsid w:val="00773A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3A1A"/>
  </w:style>
  <w:style w:type="paragraph" w:styleId="BalloonText">
    <w:name w:val="Balloon Text"/>
    <w:basedOn w:val="Normal"/>
    <w:link w:val="BalloonTextChar"/>
    <w:uiPriority w:val="99"/>
    <w:semiHidden/>
    <w:unhideWhenUsed/>
    <w:rsid w:val="00773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1A"/>
    <w:rPr>
      <w:rFonts w:ascii="Tahoma" w:hAnsi="Tahoma" w:cs="Tahoma"/>
      <w:sz w:val="16"/>
      <w:szCs w:val="16"/>
    </w:rPr>
  </w:style>
  <w:style w:type="paragraph" w:styleId="Bibliography">
    <w:name w:val="Bibliography"/>
    <w:basedOn w:val="Normal"/>
    <w:next w:val="Normal"/>
    <w:uiPriority w:val="37"/>
    <w:unhideWhenUsed/>
    <w:rsid w:val="00773A1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Mui15</b:Tag>
    <b:SourceType>JournalArticle</b:SourceType>
    <b:Guid>{9621DAB6-7BB7-4953-B51D-B6FADF27A665}</b:Guid>
    <b:LCID>0</b:LCID>
    <b:Author>
      <b:Author>
        <b:NameList>
          <b:Person>
            <b:Last>Mui</b:Last>
            <b:First>Q.</b:First>
          </b:Person>
        </b:NameList>
      </b:Author>
    </b:Author>
    <b:Title>The Biggest Economic decision of the Year Explained</b:Title>
    <b:JournalName>The Washington Post</b:JournalName>
    <b:Year>2015</b:Year>
    <b:Pages>5-6</b:Pages>
    <b:RefOrder>2</b:RefOrder>
  </b:Source>
  <b:Source>
    <b:Tag>Mof18</b:Tag>
    <b:SourceType>JournalArticle</b:SourceType>
    <b:Guid>{8F13E6D7-15F6-408C-959C-4AF409FA4965}</b:Guid>
    <b:LCID>0</b:LCID>
    <b:Author>
      <b:Author>
        <b:NameList>
          <b:Person>
            <b:Last>Moffatt</b:Last>
            <b:First>M.</b:First>
          </b:Person>
        </b:NameList>
      </b:Author>
    </b:Author>
    <b:Title>Introduction to the Use of Marginal Analysis</b:Title>
    <b:JournalName>ThoughtCo.</b:JournalName>
    <b:Year>2018</b:Year>
    <b:Pages>7-10</b:Pages>
    <b:RefOrder>1</b:RefOrder>
  </b:Source>
</b:Sources>
</file>

<file path=customXml/itemProps1.xml><?xml version="1.0" encoding="utf-8"?>
<ds:datastoreItem xmlns:ds="http://schemas.openxmlformats.org/officeDocument/2006/customXml" ds:itemID="{6937A170-2520-4ED5-8D48-5A27937DF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2019-06-13T20:45:00Z</dcterms:created>
  <dcterms:modified xsi:type="dcterms:W3CDTF">2019-06-13T20:45:00Z</dcterms:modified>
</cp:coreProperties>
</file>